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75E43" w14:textId="03ED7213" w:rsidR="00B73852" w:rsidRDefault="00B73852">
      <w:r>
        <w:t xml:space="preserve">Enrollment of beneficiaries in the various populations of focus continues to be one of the key challenges in the roll-out of California’s vision of MediCal </w:t>
      </w:r>
      <w:r w:rsidR="003E4315">
        <w:t xml:space="preserve">with </w:t>
      </w:r>
      <w:r>
        <w:t>new capabilities to address social and environmental drivers of health (</w:t>
      </w:r>
      <w:proofErr w:type="spellStart"/>
      <w:r>
        <w:t>CalAIM</w:t>
      </w:r>
      <w:proofErr w:type="spellEnd"/>
      <w:r>
        <w:t>). In the most recent D</w:t>
      </w:r>
      <w:r w:rsidR="747FCBFF">
        <w:t>HCS</w:t>
      </w:r>
      <w:r>
        <w:t xml:space="preserve"> data update</w:t>
      </w:r>
      <w:r w:rsidR="00611A88">
        <w:t xml:space="preserve"> released </w:t>
      </w:r>
      <w:r w:rsidR="1B036643">
        <w:t xml:space="preserve">on April </w:t>
      </w:r>
      <w:r w:rsidR="00611A88">
        <w:t>2,</w:t>
      </w:r>
      <w:r>
        <w:t xml:space="preserve"> </w:t>
      </w:r>
      <w:r w:rsidR="1B036643">
        <w:t>2024</w:t>
      </w:r>
      <w:r w:rsidR="00611A88">
        <w:t>,</w:t>
      </w:r>
      <w:r>
        <w:t xml:space="preserve"> reporting progress </w:t>
      </w:r>
      <w:r w:rsidR="6E5D38E6">
        <w:t>through September 2023</w:t>
      </w:r>
      <w:r>
        <w:t>, we can see that statewide</w:t>
      </w:r>
      <w:r w:rsidR="00002154">
        <w:t>, after 3 quarters of implementation for P</w:t>
      </w:r>
      <w:r w:rsidR="4041E6E0">
        <w:t xml:space="preserve">opulation of </w:t>
      </w:r>
      <w:r w:rsidR="00002154">
        <w:t>F</w:t>
      </w:r>
      <w:r w:rsidR="1C9F36A4">
        <w:t>ocus (</w:t>
      </w:r>
      <w:proofErr w:type="spellStart"/>
      <w:r w:rsidR="00002154">
        <w:t>PoF</w:t>
      </w:r>
      <w:proofErr w:type="spellEnd"/>
      <w:r w:rsidR="1C9F36A4">
        <w:t>)</w:t>
      </w:r>
      <w:r w:rsidR="00002154">
        <w:t xml:space="preserve"> #5</w:t>
      </w:r>
      <w:r w:rsidR="00CA21FC">
        <w:rPr>
          <w:rStyle w:val="EndnoteReference"/>
        </w:rPr>
        <w:endnoteReference w:id="2"/>
      </w:r>
      <w:r w:rsidR="00002154">
        <w:t>,</w:t>
      </w:r>
      <w:r>
        <w:t xml:space="preserve"> </w:t>
      </w:r>
      <w:r w:rsidR="00002154">
        <w:t>6,700 active cases</w:t>
      </w:r>
      <w:r w:rsidR="00002154">
        <w:rPr>
          <w:rStyle w:val="EndnoteReference"/>
        </w:rPr>
        <w:endnoteReference w:id="3"/>
      </w:r>
      <w:r w:rsidR="00002154">
        <w:t xml:space="preserve"> are enrolled </w:t>
      </w:r>
      <w:r>
        <w:t xml:space="preserve">and 505 organizations have been contracted by plans to serve </w:t>
      </w:r>
      <w:proofErr w:type="spellStart"/>
      <w:r>
        <w:t>PoF</w:t>
      </w:r>
      <w:proofErr w:type="spellEnd"/>
      <w:r>
        <w:t xml:space="preserve"> #5</w:t>
      </w:r>
      <w:r w:rsidR="37815347">
        <w:t>.</w:t>
      </w:r>
      <w:r>
        <w:rPr>
          <w:rStyle w:val="EndnoteReference"/>
        </w:rPr>
        <w:endnoteReference w:id="4"/>
      </w:r>
    </w:p>
    <w:p w14:paraId="5A62BB88" w14:textId="4ADD6216" w:rsidR="00002154" w:rsidRDefault="00611A88">
      <w:r>
        <w:t>As of this reporting period</w:t>
      </w:r>
      <w:r w:rsidR="001547D1">
        <w:t xml:space="preserve">, </w:t>
      </w:r>
      <w:proofErr w:type="spellStart"/>
      <w:r w:rsidR="00002154">
        <w:t>CalAIM</w:t>
      </w:r>
      <w:proofErr w:type="spellEnd"/>
      <w:r w:rsidR="00002154">
        <w:t xml:space="preserve"> </w:t>
      </w:r>
      <w:r>
        <w:t>was</w:t>
      </w:r>
      <w:r w:rsidR="00CA21FC">
        <w:t xml:space="preserve"> just 2.25 years old</w:t>
      </w:r>
      <w:r w:rsidR="001547D1">
        <w:t>,</w:t>
      </w:r>
      <w:r w:rsidR="003E4315">
        <w:t xml:space="preserve"> </w:t>
      </w:r>
      <w:proofErr w:type="spellStart"/>
      <w:r w:rsidR="003E4315">
        <w:t>PoF</w:t>
      </w:r>
      <w:proofErr w:type="spellEnd"/>
      <w:r w:rsidR="003E4315">
        <w:t xml:space="preserve"> #5 </w:t>
      </w:r>
      <w:r>
        <w:t>was</w:t>
      </w:r>
      <w:r w:rsidR="001547D1">
        <w:t xml:space="preserve"> only</w:t>
      </w:r>
      <w:r w:rsidR="003E4315">
        <w:t xml:space="preserve"> </w:t>
      </w:r>
      <w:r w:rsidR="001547D1">
        <w:t>0</w:t>
      </w:r>
      <w:r w:rsidR="003E4315">
        <w:t xml:space="preserve">.75 years </w:t>
      </w:r>
      <w:r w:rsidR="001547D1">
        <w:t>old, and enrollee numbers</w:t>
      </w:r>
      <w:r w:rsidR="00CA21FC">
        <w:t xml:space="preserve"> show </w:t>
      </w:r>
      <w:r w:rsidR="003E4315">
        <w:t xml:space="preserve">some </w:t>
      </w:r>
      <w:r w:rsidR="00CA21FC">
        <w:t>growth</w:t>
      </w:r>
      <w:r>
        <w:t xml:space="preserve"> over the </w:t>
      </w:r>
      <w:r w:rsidR="14ED23BD">
        <w:t>first</w:t>
      </w:r>
      <w:r>
        <w:t xml:space="preserve"> three quarters of 2023</w:t>
      </w:r>
      <w:r w:rsidR="001547D1">
        <w:t>. Nevertheless,</w:t>
      </w:r>
      <w:r w:rsidR="00CA21FC">
        <w:t xml:space="preserve"> the number of cases is substantially below our best </w:t>
      </w:r>
      <w:r w:rsidR="003E4315">
        <w:t xml:space="preserve">(conservative) </w:t>
      </w:r>
      <w:r w:rsidR="00CA21FC">
        <w:t xml:space="preserve">estimate </w:t>
      </w:r>
      <w:r w:rsidR="00A82550">
        <w:t>of</w:t>
      </w:r>
      <w:r w:rsidR="00CA21FC">
        <w:t xml:space="preserve"> those meeting criteria </w:t>
      </w:r>
      <w:proofErr w:type="gramStart"/>
      <w:r w:rsidR="00A82550">
        <w:t>as a result of</w:t>
      </w:r>
      <w:proofErr w:type="gramEnd"/>
      <w:r w:rsidR="00A82550">
        <w:t xml:space="preserve"> the effects of dementia alone </w:t>
      </w:r>
      <w:r w:rsidR="6DEE6969">
        <w:t>and</w:t>
      </w:r>
      <w:r w:rsidR="00A82550">
        <w:t xml:space="preserve"> 50,000 – 100,000</w:t>
      </w:r>
      <w:r w:rsidR="003E4315">
        <w:rPr>
          <w:rStyle w:val="EndnoteReference"/>
        </w:rPr>
        <w:endnoteReference w:id="5"/>
      </w:r>
      <w:r w:rsidR="003E4315">
        <w:t xml:space="preserve"> much less the additional beneficiaries eligible due to other factors</w:t>
      </w:r>
      <w:r>
        <w:t xml:space="preserve"> (e.g., Parkinson’s, MS, RA, blindness, </w:t>
      </w:r>
      <w:r w:rsidR="00D829DB">
        <w:t xml:space="preserve">amputation, </w:t>
      </w:r>
      <w:r>
        <w:t>etc.)</w:t>
      </w:r>
      <w:r w:rsidR="003E4315">
        <w:t xml:space="preserve">. As concerning, from the standpoint of organizations being able to continue participation in </w:t>
      </w:r>
      <w:proofErr w:type="spellStart"/>
      <w:r w:rsidR="003E4315">
        <w:t>CalAIM</w:t>
      </w:r>
      <w:proofErr w:type="spellEnd"/>
      <w:r w:rsidR="003E4315">
        <w:t xml:space="preserve">, the average ratio of enrollees to contractors </w:t>
      </w:r>
      <w:r w:rsidR="72763A93">
        <w:t>of</w:t>
      </w:r>
      <w:r w:rsidR="003E4315">
        <w:t xml:space="preserve"> ~13 is clearly unsustainable.</w:t>
      </w:r>
      <w:r w:rsidR="003E4315">
        <w:rPr>
          <w:rStyle w:val="EndnoteReference"/>
        </w:rPr>
        <w:endnoteReference w:id="6"/>
      </w:r>
    </w:p>
    <w:p w14:paraId="39451507" w14:textId="093E3F9B" w:rsidR="003E4315" w:rsidRDefault="001547D1">
      <w:r>
        <w:t>Enrolling qualified beneficiaries in E</w:t>
      </w:r>
      <w:r w:rsidR="2C00EA32">
        <w:t xml:space="preserve">nhanced </w:t>
      </w:r>
      <w:r>
        <w:t>C</w:t>
      </w:r>
      <w:r w:rsidR="36A93F4C">
        <w:t xml:space="preserve">are </w:t>
      </w:r>
      <w:r>
        <w:t>M</w:t>
      </w:r>
      <w:r w:rsidR="6871E4DB">
        <w:t>anagement (</w:t>
      </w:r>
      <w:r>
        <w:t>ECM</w:t>
      </w:r>
      <w:r w:rsidR="6871E4DB">
        <w:t>)</w:t>
      </w:r>
      <w:r>
        <w:t xml:space="preserve"> is a function of identifying those beneficiaries, contacting those beneficiaries, and convincing them to accept this new and hitherto unknown service. DHCS “expect[s] referrals to be the predominant pathway” and expects that </w:t>
      </w:r>
      <w:r w:rsidR="00611A88">
        <w:t>ECM providers</w:t>
      </w:r>
      <w:r>
        <w:t xml:space="preserve"> will have preexisting relationships with beneficiaries and organizations currently serving this population such as “CBAS, AAAs, </w:t>
      </w:r>
      <w:r w:rsidR="002309EC">
        <w:t>Home Health Agencies, CILS, IHSS providers, and other HCBS waiver providers.”</w:t>
      </w:r>
      <w:r w:rsidR="002309EC">
        <w:rPr>
          <w:rStyle w:val="EndnoteReference"/>
        </w:rPr>
        <w:endnoteReference w:id="7"/>
      </w:r>
      <w:r w:rsidR="002309EC">
        <w:t xml:space="preserve"> While MCPs are also permitted to use existing member data, wavier wait lists, and other administrative methods to identify cases, there is general agreement that “cold” outreach from a plan or ECM provider to such a member is not likely to lead to successful ECM enrollment and engagement.</w:t>
      </w:r>
    </w:p>
    <w:p w14:paraId="6258BA67" w14:textId="6E3FAE03" w:rsidR="00611A88" w:rsidRDefault="002309EC">
      <w:r>
        <w:t xml:space="preserve">Unfortunately, many if not most people living with dementia will not previously be engaged with either the organization who happens to be their plan’s ECM contractor for their geography/language/culture nor any of these other </w:t>
      </w:r>
      <w:r w:rsidR="00611A88">
        <w:t>types of organizations. Most families struggle unnoticed and unsupported.</w:t>
      </w:r>
      <w:r>
        <w:t xml:space="preserve"> Moreover, the processes whereby a plan or ECM provider might get a warm hand </w:t>
      </w:r>
      <w:proofErr w:type="gramStart"/>
      <w:r>
        <w:t xml:space="preserve">off </w:t>
      </w:r>
      <w:r w:rsidR="00D829DB">
        <w:t>of</w:t>
      </w:r>
      <w:proofErr w:type="gramEnd"/>
      <w:r w:rsidR="00D829DB">
        <w:t xml:space="preserve"> a likely eligible case </w:t>
      </w:r>
      <w:r>
        <w:t xml:space="preserve">from a AAA, CIL, </w:t>
      </w:r>
      <w:r w:rsidR="00FF6256">
        <w:t>or IHSS agency</w:t>
      </w:r>
      <w:r>
        <w:t xml:space="preserve">, etc. </w:t>
      </w:r>
      <w:r w:rsidR="6852D311">
        <w:t>are</w:t>
      </w:r>
      <w:r>
        <w:t xml:space="preserve"> very unclear given jurisdictional silos and the sensitivity of </w:t>
      </w:r>
      <w:r w:rsidR="56483E8B">
        <w:t>protected health information (</w:t>
      </w:r>
      <w:r>
        <w:t>PHI</w:t>
      </w:r>
      <w:r w:rsidR="36B2D817">
        <w:t>)</w:t>
      </w:r>
      <w:r>
        <w:t>.</w:t>
      </w:r>
      <w:r w:rsidR="00611A88">
        <w:rPr>
          <w:rStyle w:val="EndnoteReference"/>
        </w:rPr>
        <w:endnoteReference w:id="8"/>
      </w:r>
      <w:r w:rsidR="00FF6256">
        <w:t xml:space="preserve"> A possible solution to this challenge is “self-referral.” </w:t>
      </w:r>
      <w:r w:rsidR="00B73852">
        <w:t xml:space="preserve">For most </w:t>
      </w:r>
      <w:proofErr w:type="spellStart"/>
      <w:r w:rsidR="00B73852">
        <w:t>PoFs</w:t>
      </w:r>
      <w:proofErr w:type="spellEnd"/>
      <w:r w:rsidR="00FF6256">
        <w:t>,</w:t>
      </w:r>
      <w:r w:rsidR="00B73852">
        <w:t xml:space="preserve"> including </w:t>
      </w:r>
      <w:proofErr w:type="spellStart"/>
      <w:r w:rsidR="00B73852">
        <w:t>PoF</w:t>
      </w:r>
      <w:proofErr w:type="spellEnd"/>
      <w:r w:rsidR="00B73852">
        <w:t xml:space="preserve"> #5 </w:t>
      </w:r>
      <w:r w:rsidR="00FF6256">
        <w:t xml:space="preserve">the </w:t>
      </w:r>
      <w:r w:rsidR="00B73852">
        <w:t>DHCS Policy Guide as of 9/23 specifies that plans are expected to allow members and their family members to self-refer to ECM.</w:t>
      </w:r>
      <w:r w:rsidR="00B73852">
        <w:rPr>
          <w:rStyle w:val="EndnoteReference"/>
        </w:rPr>
        <w:endnoteReference w:id="9"/>
      </w:r>
      <w:r w:rsidR="00B73852">
        <w:t xml:space="preserve"> </w:t>
      </w:r>
    </w:p>
    <w:p w14:paraId="331D4596" w14:textId="65BB53EA" w:rsidR="00611A88" w:rsidRDefault="00FF6256">
      <w:r>
        <w:t xml:space="preserve">The </w:t>
      </w:r>
      <w:hyperlink r:id="rId11">
        <w:r w:rsidRPr="61F46B33">
          <w:rPr>
            <w:rStyle w:val="Hyperlink"/>
          </w:rPr>
          <w:t>table of referral forms and process guides</w:t>
        </w:r>
      </w:hyperlink>
      <w:r>
        <w:t xml:space="preserve"> developed by CalHPS </w:t>
      </w:r>
      <w:r w:rsidR="3D65A791">
        <w:t xml:space="preserve">is </w:t>
      </w:r>
      <w:r w:rsidR="00611A88">
        <w:t>a potential starting point</w:t>
      </w:r>
      <w:r w:rsidR="3C338CF2">
        <w:t xml:space="preserve"> to support enrollment</w:t>
      </w:r>
      <w:r w:rsidR="00611A88">
        <w:t xml:space="preserve">. </w:t>
      </w:r>
      <w:r w:rsidR="6022B276">
        <w:t>Here are some possible courses for collective action:</w:t>
      </w:r>
    </w:p>
    <w:p w14:paraId="5D77804F" w14:textId="716B6C3F" w:rsidR="00611A88" w:rsidRDefault="00611A88" w:rsidP="61F46B33">
      <w:pPr>
        <w:pStyle w:val="ListParagraph"/>
        <w:numPr>
          <w:ilvl w:val="0"/>
          <w:numId w:val="1"/>
        </w:numPr>
      </w:pPr>
      <w:r>
        <w:t xml:space="preserve">While the referral forms </w:t>
      </w:r>
      <w:r w:rsidR="7935B90E">
        <w:t>cannot</w:t>
      </w:r>
      <w:r>
        <w:t xml:space="preserve"> plausibly be used by beneficiaries directly</w:t>
      </w:r>
      <w:r w:rsidR="00D829DB">
        <w:t>,</w:t>
      </w:r>
      <w:r>
        <w:t xml:space="preserve"> can they be modified</w:t>
      </w:r>
      <w:r w:rsidR="3CB7BF14">
        <w:t xml:space="preserve"> for this purpose</w:t>
      </w:r>
      <w:r>
        <w:t xml:space="preserve">? </w:t>
      </w:r>
      <w:r w:rsidR="00D829DB">
        <w:t xml:space="preserve">To whom is a beneficiary (or caregiver) supposed to submit their information? Guides </w:t>
      </w:r>
      <w:r w:rsidR="007E0989">
        <w:t>online</w:t>
      </w:r>
      <w:r w:rsidR="00D829DB">
        <w:t xml:space="preserve"> and scripts of plan case managers may need to be reviewed.</w:t>
      </w:r>
    </w:p>
    <w:p w14:paraId="2E71C129" w14:textId="748B182B" w:rsidR="00611A88" w:rsidRDefault="00611A88" w:rsidP="61F46B33">
      <w:pPr>
        <w:pStyle w:val="ListParagraph"/>
        <w:numPr>
          <w:ilvl w:val="0"/>
          <w:numId w:val="1"/>
        </w:numPr>
      </w:pPr>
      <w:r>
        <w:t xml:space="preserve">Under what conditions might intermediary organizations such as AAAs or CRCs be willing to help clients complete such a form? </w:t>
      </w:r>
      <w:r w:rsidR="00D829DB">
        <w:t xml:space="preserve">CRCs’ </w:t>
      </w:r>
      <w:proofErr w:type="spellStart"/>
      <w:r w:rsidR="00D829DB">
        <w:t>CareNav</w:t>
      </w:r>
      <w:proofErr w:type="spellEnd"/>
      <w:r w:rsidR="00D829DB">
        <w:t xml:space="preserve"> system already asks about </w:t>
      </w:r>
      <w:proofErr w:type="gramStart"/>
      <w:r w:rsidR="00D829DB">
        <w:t>MediCal</w:t>
      </w:r>
      <w:proofErr w:type="gramEnd"/>
      <w:r w:rsidR="00D829DB">
        <w:t xml:space="preserve"> eligibility and very substantial questions about clinical condition. </w:t>
      </w:r>
    </w:p>
    <w:p w14:paraId="536E8D44" w14:textId="4F32B19A" w:rsidR="00611A88" w:rsidRDefault="00D829DB" w:rsidP="61F46B33">
      <w:pPr>
        <w:pStyle w:val="ListParagraph"/>
        <w:numPr>
          <w:ilvl w:val="0"/>
          <w:numId w:val="1"/>
        </w:numPr>
      </w:pPr>
      <w:r>
        <w:lastRenderedPageBreak/>
        <w:t xml:space="preserve">With additional information as to specific MCP membership, and preferred process of MCPs (see table), could I&amp;R organizations play an important role in helping thousands of Californians get valuable benefits? </w:t>
      </w:r>
    </w:p>
    <w:sectPr w:rsidR="00611A8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972F7" w14:textId="77777777" w:rsidR="00FE42A4" w:rsidRDefault="00FE42A4" w:rsidP="00B73852">
      <w:pPr>
        <w:spacing w:after="0" w:line="240" w:lineRule="auto"/>
      </w:pPr>
      <w:r>
        <w:separator/>
      </w:r>
    </w:p>
  </w:endnote>
  <w:endnote w:type="continuationSeparator" w:id="0">
    <w:p w14:paraId="555D046F" w14:textId="77777777" w:rsidR="00FE42A4" w:rsidRDefault="00FE42A4" w:rsidP="00B73852">
      <w:pPr>
        <w:spacing w:after="0" w:line="240" w:lineRule="auto"/>
      </w:pPr>
      <w:r>
        <w:continuationSeparator/>
      </w:r>
    </w:p>
  </w:endnote>
  <w:endnote w:type="continuationNotice" w:id="1">
    <w:p w14:paraId="067A66E9" w14:textId="77777777" w:rsidR="00FE42A4" w:rsidRDefault="00FE42A4">
      <w:pPr>
        <w:spacing w:after="0" w:line="240" w:lineRule="auto"/>
      </w:pPr>
    </w:p>
  </w:endnote>
  <w:endnote w:id="2">
    <w:p w14:paraId="2CD76F65" w14:textId="438FC220" w:rsidR="00CA21FC" w:rsidRDefault="00CA21F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61F46B33">
        <w:t>Population of Focus (</w:t>
      </w:r>
      <w:proofErr w:type="spellStart"/>
      <w:r>
        <w:t>PoF</w:t>
      </w:r>
      <w:proofErr w:type="spellEnd"/>
      <w:r w:rsidR="61F46B33">
        <w:t>)</w:t>
      </w:r>
      <w:r>
        <w:t xml:space="preserve"> #5 Eligibility is defined as a MediCal beneficiary (MediCal only or Dual) who 1</w:t>
      </w:r>
      <w:r w:rsidR="61F46B33">
        <w:t>.)</w:t>
      </w:r>
      <w:r>
        <w:t xml:space="preserve"> meets SNF level of care (2 or more ADLs) OR lower acuity skilled </w:t>
      </w:r>
      <w:proofErr w:type="gramStart"/>
      <w:r>
        <w:t>nursing  AND</w:t>
      </w:r>
      <w:proofErr w:type="gramEnd"/>
      <w:r>
        <w:t xml:space="preserve"> 2</w:t>
      </w:r>
      <w:r w:rsidR="61F46B33">
        <w:t>.)</w:t>
      </w:r>
      <w:r>
        <w:t xml:space="preserve"> Is actively experiencing at least one complex social environmental factor (e.g., </w:t>
      </w:r>
      <w:proofErr w:type="gramStart"/>
      <w:r>
        <w:t>poor</w:t>
      </w:r>
      <w:proofErr w:type="gramEnd"/>
      <w:r>
        <w:t xml:space="preserve"> or inadequate caregiving) and 3</w:t>
      </w:r>
      <w:r w:rsidR="61F46B33">
        <w:t>.)</w:t>
      </w:r>
      <w:r>
        <w:t xml:space="preserve"> </w:t>
      </w:r>
      <w:proofErr w:type="gramStart"/>
      <w:r>
        <w:t>Is able to</w:t>
      </w:r>
      <w:proofErr w:type="gramEnd"/>
      <w:r>
        <w:t xml:space="preserve"> reside safely in the community with appropriate supports. Note that those duals who are enrolled in a DSNP for their Medicare </w:t>
      </w:r>
      <w:r w:rsidR="61F46B33">
        <w:t>cannot</w:t>
      </w:r>
      <w:r>
        <w:t xml:space="preserve"> be provided ECM by a MediCal MCP – their DSNP is responsible for an equivalent service.</w:t>
      </w:r>
    </w:p>
  </w:endnote>
  <w:endnote w:id="3">
    <w:p w14:paraId="27432140" w14:textId="05A98484" w:rsidR="00002154" w:rsidRDefault="00002154">
      <w:pPr>
        <w:pStyle w:val="EndnoteText"/>
      </w:pPr>
      <w:r>
        <w:rPr>
          <w:rStyle w:val="EndnoteReference"/>
        </w:rPr>
        <w:endnoteRef/>
      </w:r>
      <w:r>
        <w:t xml:space="preserve"> The </w:t>
      </w:r>
      <w:proofErr w:type="spellStart"/>
      <w:r>
        <w:t>all time</w:t>
      </w:r>
      <w:proofErr w:type="spellEnd"/>
      <w:r>
        <w:t xml:space="preserve"> total of people ever enrolled in ECM under </w:t>
      </w:r>
      <w:proofErr w:type="spellStart"/>
      <w:r>
        <w:t>PoF</w:t>
      </w:r>
      <w:proofErr w:type="spellEnd"/>
      <w:r>
        <w:t xml:space="preserve"> #5 is 9,400, indicating that at least 3,000 people who were in ECM in this category have since left (death, disenrollment, institutionalization, lost to follow-up or successful stabilization of risk).</w:t>
      </w:r>
    </w:p>
  </w:endnote>
  <w:endnote w:id="4">
    <w:p w14:paraId="02832611" w14:textId="34C377D5" w:rsidR="00B73852" w:rsidRDefault="00B73852">
      <w:pPr>
        <w:pStyle w:val="EndnoteText"/>
      </w:pPr>
      <w:r>
        <w:rPr>
          <w:rStyle w:val="EndnoteReference"/>
        </w:rPr>
        <w:endnoteRef/>
      </w:r>
      <w:r>
        <w:t xml:space="preserve"> The count of 505 </w:t>
      </w:r>
      <w:r w:rsidR="00002154">
        <w:t>represents the sum of the number of ECM/</w:t>
      </w:r>
      <w:proofErr w:type="spellStart"/>
      <w:r w:rsidR="00002154">
        <w:t>PoF</w:t>
      </w:r>
      <w:proofErr w:type="spellEnd"/>
      <w:r w:rsidR="00002154">
        <w:t xml:space="preserve"> 5 contracts reported by all plans.  To the extent that some ECM provider entities may have contracts with more than 1 plan, the number of unique organizations will be slightly smaller. </w:t>
      </w:r>
    </w:p>
  </w:endnote>
  <w:endnote w:id="5">
    <w:p w14:paraId="49F324D4" w14:textId="2CE03CED" w:rsidR="003E4315" w:rsidRDefault="003E4315">
      <w:pPr>
        <w:pStyle w:val="EndnoteText"/>
      </w:pPr>
      <w:r>
        <w:rPr>
          <w:rStyle w:val="EndnoteReference"/>
        </w:rPr>
        <w:endnoteRef/>
      </w:r>
      <w:r>
        <w:t xml:space="preserve"> 1.2M </w:t>
      </w:r>
      <w:r w:rsidR="61F46B33">
        <w:t>Older adult</w:t>
      </w:r>
      <w:r>
        <w:t xml:space="preserve"> Full Duals – 200k in DSNPs * 15% blended rate of dementia * ?50% for those without complex social/environmental risk.</w:t>
      </w:r>
    </w:p>
  </w:endnote>
  <w:endnote w:id="6">
    <w:p w14:paraId="1F83C960" w14:textId="4BC77195" w:rsidR="003E4315" w:rsidRDefault="003E431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E01C3">
        <w:t xml:space="preserve">Because the ratio of cases to ECM contractors will vary, we checked the ratios for LA Care, Cal Optima, </w:t>
      </w:r>
      <w:r w:rsidR="61F46B33">
        <w:t>Sacramento</w:t>
      </w:r>
      <w:r w:rsidR="000E01C3">
        <w:t xml:space="preserve"> </w:t>
      </w:r>
      <w:r w:rsidR="001547D1">
        <w:t xml:space="preserve">Co </w:t>
      </w:r>
      <w:r w:rsidR="000E01C3">
        <w:t>Anthem Blue</w:t>
      </w:r>
      <w:r w:rsidR="001547D1">
        <w:t xml:space="preserve"> Cross</w:t>
      </w:r>
      <w:r w:rsidR="000E01C3">
        <w:t>, and IEHP. The ratios were 6.7, 14.3, 6.3 and 10.8, respectively. (</w:t>
      </w:r>
      <w:r w:rsidR="001547D1">
        <w:t>313/47, 143/10, 51/8, 291/27)</w:t>
      </w:r>
    </w:p>
  </w:endnote>
  <w:endnote w:id="7">
    <w:p w14:paraId="66D612AE" w14:textId="11DBDBC8" w:rsidR="002309EC" w:rsidRDefault="002309EC">
      <w:pPr>
        <w:pStyle w:val="EndnoteText"/>
      </w:pPr>
      <w:r>
        <w:rPr>
          <w:rStyle w:val="EndnoteReference"/>
        </w:rPr>
        <w:endnoteRef/>
      </w:r>
      <w:r>
        <w:t xml:space="preserve"> See </w:t>
      </w:r>
      <w:hyperlink r:id="rId1" w:history="1">
        <w:r w:rsidRPr="002B26F9">
          <w:rPr>
            <w:rStyle w:val="Hyperlink"/>
          </w:rPr>
          <w:t>https://www.dhcs.ca.gov/Documents/MCQMD/ECM-Policy-Guide.pdf</w:t>
        </w:r>
      </w:hyperlink>
      <w:r>
        <w:t xml:space="preserve"> page </w:t>
      </w:r>
      <w:proofErr w:type="gramStart"/>
      <w:r>
        <w:t>37</w:t>
      </w:r>
      <w:proofErr w:type="gramEnd"/>
    </w:p>
  </w:endnote>
  <w:endnote w:id="8">
    <w:p w14:paraId="783217C6" w14:textId="352178EF" w:rsidR="00611A88" w:rsidRDefault="00611A88">
      <w:pPr>
        <w:pStyle w:val="EndnoteText"/>
      </w:pPr>
      <w:r>
        <w:rPr>
          <w:rStyle w:val="EndnoteReference"/>
        </w:rPr>
        <w:endnoteRef/>
      </w:r>
      <w:r>
        <w:t xml:space="preserve"> Entities who are already in a contractual relationship with an MCP and have a clinical relationship with members (health providers? CBAS) however, should be required by contract to screen and refer members to appropriate ECM and/or plan coordinators and to support </w:t>
      </w:r>
      <w:proofErr w:type="gramStart"/>
      <w:r>
        <w:t>a ”warm</w:t>
      </w:r>
      <w:proofErr w:type="gramEnd"/>
      <w:r>
        <w:t xml:space="preserve"> handoff.”</w:t>
      </w:r>
    </w:p>
  </w:endnote>
  <w:endnote w:id="9">
    <w:p w14:paraId="74278B46" w14:textId="25BF215F" w:rsidR="00B73852" w:rsidRDefault="00B73852">
      <w:pPr>
        <w:pStyle w:val="EndnoteText"/>
      </w:pPr>
      <w:r>
        <w:rPr>
          <w:rStyle w:val="EndnoteReference"/>
        </w:rPr>
        <w:endnoteRef/>
      </w:r>
      <w:r>
        <w:t xml:space="preserve"> See </w:t>
      </w:r>
      <w:hyperlink r:id="rId2" w:history="1">
        <w:r w:rsidRPr="002B26F9">
          <w:rPr>
            <w:rStyle w:val="Hyperlink"/>
          </w:rPr>
          <w:t>https://www.dhcs.ca.gov/Documents/MCQMD/ECM-Policy-Guide.pdf</w:t>
        </w:r>
      </w:hyperlink>
      <w:r>
        <w:t xml:space="preserve"> page </w:t>
      </w:r>
      <w:proofErr w:type="gramStart"/>
      <w:r>
        <w:t>37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4A190" w14:textId="58FDE6EA" w:rsidR="00055C3C" w:rsidRDefault="00055C3C">
    <w:pPr>
      <w:pStyle w:val="Footer"/>
    </w:pPr>
    <w:proofErr w:type="spellStart"/>
    <w:r>
      <w:t>CalAIM</w:t>
    </w:r>
    <w:proofErr w:type="spellEnd"/>
    <w:r>
      <w:t xml:space="preserve"> Statewide Dementia Care Learning Collaborative</w:t>
    </w:r>
    <w:r>
      <w:tab/>
    </w:r>
    <w:r w:rsidR="00C55070">
      <w:t>4/17/2024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BCA82" w14:textId="77777777" w:rsidR="00FE42A4" w:rsidRDefault="00FE42A4" w:rsidP="00B73852">
      <w:pPr>
        <w:spacing w:after="0" w:line="240" w:lineRule="auto"/>
      </w:pPr>
      <w:r>
        <w:separator/>
      </w:r>
    </w:p>
  </w:footnote>
  <w:footnote w:type="continuationSeparator" w:id="0">
    <w:p w14:paraId="76FE1D3E" w14:textId="77777777" w:rsidR="00FE42A4" w:rsidRDefault="00FE42A4" w:rsidP="00B73852">
      <w:pPr>
        <w:spacing w:after="0" w:line="240" w:lineRule="auto"/>
      </w:pPr>
      <w:r>
        <w:continuationSeparator/>
      </w:r>
    </w:p>
  </w:footnote>
  <w:footnote w:type="continuationNotice" w:id="1">
    <w:p w14:paraId="6B1A701C" w14:textId="77777777" w:rsidR="00FE42A4" w:rsidRDefault="00FE4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EC8B" w14:textId="46B2B768" w:rsidR="000939A7" w:rsidRDefault="000939A7" w:rsidP="000939A7">
    <w:pPr>
      <w:pStyle w:val="Header"/>
      <w:jc w:val="center"/>
    </w:pPr>
    <w:r>
      <w:t>Enhanced Care Management</w:t>
    </w:r>
    <w:r w:rsidR="008640F2">
      <w:t xml:space="preserve"> - Opportunity for Self-Referral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15F84"/>
    <w:multiLevelType w:val="hybridMultilevel"/>
    <w:tmpl w:val="697E9438"/>
    <w:lvl w:ilvl="0" w:tplc="C39A6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C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D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2D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A1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08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C8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E3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C5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52"/>
    <w:rsid w:val="00002154"/>
    <w:rsid w:val="00055C3C"/>
    <w:rsid w:val="000939A7"/>
    <w:rsid w:val="000E01C3"/>
    <w:rsid w:val="001178FE"/>
    <w:rsid w:val="001547D1"/>
    <w:rsid w:val="00212D41"/>
    <w:rsid w:val="002309EC"/>
    <w:rsid w:val="0027FD9E"/>
    <w:rsid w:val="00312F98"/>
    <w:rsid w:val="003E4315"/>
    <w:rsid w:val="00611A88"/>
    <w:rsid w:val="00637D48"/>
    <w:rsid w:val="006D6057"/>
    <w:rsid w:val="006E246B"/>
    <w:rsid w:val="007B5D1D"/>
    <w:rsid w:val="007E0989"/>
    <w:rsid w:val="008640F2"/>
    <w:rsid w:val="00A82550"/>
    <w:rsid w:val="00B73852"/>
    <w:rsid w:val="00C55070"/>
    <w:rsid w:val="00CA21FC"/>
    <w:rsid w:val="00CD5717"/>
    <w:rsid w:val="00CF6D5B"/>
    <w:rsid w:val="00D829DB"/>
    <w:rsid w:val="00DD00E0"/>
    <w:rsid w:val="00EF78FA"/>
    <w:rsid w:val="00FE42A4"/>
    <w:rsid w:val="00FF6256"/>
    <w:rsid w:val="035F9E60"/>
    <w:rsid w:val="045B4346"/>
    <w:rsid w:val="0C0964CF"/>
    <w:rsid w:val="13FA28F1"/>
    <w:rsid w:val="14ED23BD"/>
    <w:rsid w:val="1619200B"/>
    <w:rsid w:val="161FABD0"/>
    <w:rsid w:val="1B036643"/>
    <w:rsid w:val="1C9F36A4"/>
    <w:rsid w:val="1D6859F5"/>
    <w:rsid w:val="24FD5321"/>
    <w:rsid w:val="2592EC30"/>
    <w:rsid w:val="27CEFA31"/>
    <w:rsid w:val="2C00EA32"/>
    <w:rsid w:val="30286765"/>
    <w:rsid w:val="304FD541"/>
    <w:rsid w:val="31CADEA6"/>
    <w:rsid w:val="359AB124"/>
    <w:rsid w:val="35E582E6"/>
    <w:rsid w:val="36A93F4C"/>
    <w:rsid w:val="36B2D817"/>
    <w:rsid w:val="37815347"/>
    <w:rsid w:val="391D23A8"/>
    <w:rsid w:val="399BCAFC"/>
    <w:rsid w:val="3A225443"/>
    <w:rsid w:val="3C338CF2"/>
    <w:rsid w:val="3CB7BF14"/>
    <w:rsid w:val="3D65A791"/>
    <w:rsid w:val="3F2F74D0"/>
    <w:rsid w:val="3FAE1C24"/>
    <w:rsid w:val="4041E6E0"/>
    <w:rsid w:val="4DAFAB7F"/>
    <w:rsid w:val="519A7F6A"/>
    <w:rsid w:val="52DB6340"/>
    <w:rsid w:val="56483E8B"/>
    <w:rsid w:val="6022B276"/>
    <w:rsid w:val="61F46B33"/>
    <w:rsid w:val="61FA7DE8"/>
    <w:rsid w:val="6827D23E"/>
    <w:rsid w:val="6852D311"/>
    <w:rsid w:val="6871E4DB"/>
    <w:rsid w:val="69C3A29F"/>
    <w:rsid w:val="6DEE6969"/>
    <w:rsid w:val="6E5D38E6"/>
    <w:rsid w:val="72763A93"/>
    <w:rsid w:val="747FCBFF"/>
    <w:rsid w:val="7824CDAB"/>
    <w:rsid w:val="7935B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A39B"/>
  <w15:chartTrackingRefBased/>
  <w15:docId w15:val="{9846DEA8-CECC-41E0-A6A1-E4DD7EEE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852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8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85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3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8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A7"/>
  </w:style>
  <w:style w:type="paragraph" w:styleId="Footer">
    <w:name w:val="footer"/>
    <w:basedOn w:val="Normal"/>
    <w:link w:val="FooterChar"/>
    <w:uiPriority w:val="99"/>
    <w:unhideWhenUsed/>
    <w:rsid w:val="0009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stone.org/uploads/Medi-Cal-MCP-ECM-Referral-Forms-3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hcs.ca.gov/Documents/MCQMD/ECM-Policy-Guide.pdf" TargetMode="External"/><Relationship Id="rId1" Type="http://schemas.openxmlformats.org/officeDocument/2006/relationships/hyperlink" Target="https://www.dhcs.ca.gov/Documents/MCQMD/ECM-Policy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BD48E352921439508B23F5B0F06EA" ma:contentTypeVersion="18" ma:contentTypeDescription="Create a new document." ma:contentTypeScope="" ma:versionID="c613b8e600dfb5dae691e4d58e1bc6fa">
  <xsd:schema xmlns:xsd="http://www.w3.org/2001/XMLSchema" xmlns:xs="http://www.w3.org/2001/XMLSchema" xmlns:p="http://schemas.microsoft.com/office/2006/metadata/properties" xmlns:ns3="404d5002-dae0-4ce7-9cc8-1f16517cc895" xmlns:ns4="d7c438b2-934a-4a21-b322-3ed6f7e210b0" targetNamespace="http://schemas.microsoft.com/office/2006/metadata/properties" ma:root="true" ma:fieldsID="9504270928ad70c1a02be1d3be8e63b5" ns3:_="" ns4:_="">
    <xsd:import namespace="404d5002-dae0-4ce7-9cc8-1f16517cc895"/>
    <xsd:import namespace="d7c438b2-934a-4a21-b322-3ed6f7e2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5002-dae0-4ce7-9cc8-1f16517cc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38b2-934a-4a21-b322-3ed6f7e2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5002-dae0-4ce7-9cc8-1f16517cc8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C1B36-B38C-4431-8A4D-835DDDA0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5002-dae0-4ce7-9cc8-1f16517cc895"/>
    <ds:schemaRef ds:uri="d7c438b2-934a-4a21-b322-3ed6f7e2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25FC5-A42D-4E0F-851E-7A7D74D92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18CF6-15D5-41E9-ACE2-03FBC17C530B}">
  <ds:schemaRefs>
    <ds:schemaRef ds:uri="http://schemas.microsoft.com/office/2006/metadata/properties"/>
    <ds:schemaRef ds:uri="http://schemas.microsoft.com/office/infopath/2007/PartnerControls"/>
    <ds:schemaRef ds:uri="404d5002-dae0-4ce7-9cc8-1f16517cc895"/>
  </ds:schemaRefs>
</ds:datastoreItem>
</file>

<file path=customXml/itemProps4.xml><?xml version="1.0" encoding="utf-8"?>
<ds:datastoreItem xmlns:ds="http://schemas.openxmlformats.org/officeDocument/2006/customXml" ds:itemID="{F1E8CBDA-CEF4-4D0F-9B3A-EB3C32360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Langston</dc:creator>
  <cp:keywords/>
  <dc:description/>
  <cp:lastModifiedBy>Jasmine Lacsamana</cp:lastModifiedBy>
  <cp:revision>10</cp:revision>
  <dcterms:created xsi:type="dcterms:W3CDTF">2024-04-16T13:17:00Z</dcterms:created>
  <dcterms:modified xsi:type="dcterms:W3CDTF">2024-04-17T17:28:00Z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0x01010061DBD48E352921439508B23F5B0F06EA</vt:lpwstr>
  </property>
</Properties>
</file>